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w:t>
      </w:r>
      <w:r>
        <w:rPr>
          <w:rFonts w:hint="eastAsia" w:ascii="宋体" w:hAnsi="宋体" w:cs="宋体"/>
          <w:sz w:val="24"/>
          <w:highlight w:val="yellow"/>
          <w:lang w:eastAsia="zh-CN"/>
        </w:rPr>
        <w:t>。</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扩大学术信息交流渠道，本刊已许可中国知网、超星、维普、万方等数据库以数字化方式复制、汇编、发行、翻译、信息网络传播本刊全文。本刊支付的稿酬已包含上述数据库著作权使用费，所有署名作者向本刊提交文章发表之行为视为同意上述声明。</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NTI4ZWVjOWQ0ZWFiMDJiMjIzODI4ODg2ZDliNDcifQ=="/>
  </w:docVars>
  <w:rsids>
    <w:rsidRoot w:val="73D71738"/>
    <w:rsid w:val="2EB312F0"/>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Administrator</cp:lastModifiedBy>
  <dcterms:modified xsi:type="dcterms:W3CDTF">2024-05-13T03:07:42Z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1259B2E77CC1407CAB0E10CBBA9BB899_12</vt:lpwstr>
  </property>
</Properties>
</file>